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0AE" w:rsidRDefault="00CC7320" w:rsidP="007D00AE">
      <w:pPr>
        <w:jc w:val="center"/>
        <w:rPr>
          <w:b/>
        </w:rPr>
      </w:pPr>
      <w:bookmarkStart w:id="0" w:name="_GoBack"/>
      <w:bookmarkEnd w:id="0"/>
      <w:r>
        <w:rPr>
          <w:b/>
        </w:rPr>
        <w:t xml:space="preserve">MOTION FOR </w:t>
      </w:r>
      <w:r w:rsidR="007D00AE" w:rsidRPr="007D00AE">
        <w:rPr>
          <w:b/>
        </w:rPr>
        <w:t>SUBSTITUTE SERVICE</w:t>
      </w:r>
    </w:p>
    <w:p w:rsidR="002A16C3" w:rsidRPr="007D00AE" w:rsidRDefault="007D00AE" w:rsidP="007D00AE">
      <w:pPr>
        <w:jc w:val="center"/>
        <w:rPr>
          <w:b/>
        </w:rPr>
      </w:pPr>
      <w:r w:rsidRPr="007D00AE">
        <w:rPr>
          <w:b/>
        </w:rPr>
        <w:t>(RULE 106)</w:t>
      </w:r>
    </w:p>
    <w:p w:rsidR="002A16C3" w:rsidRDefault="002A16C3" w:rsidP="002A16C3"/>
    <w:p w:rsidR="002A16C3" w:rsidRPr="002A16C3" w:rsidRDefault="002A16C3" w:rsidP="007D00AE">
      <w:pPr>
        <w:ind w:firstLine="720"/>
      </w:pPr>
      <w:r w:rsidRPr="002A16C3">
        <w:rPr>
          <w:rFonts w:hint="eastAsia"/>
        </w:rPr>
        <w:t>All motions for substituted service under Rule 106 must be accompanied by an affidavit that includes the following information:</w:t>
      </w:r>
    </w:p>
    <w:p w:rsidR="002A16C3" w:rsidRPr="002A16C3" w:rsidRDefault="002A16C3" w:rsidP="002A16C3"/>
    <w:p w:rsidR="002A16C3" w:rsidRPr="002A16C3" w:rsidRDefault="002A16C3" w:rsidP="007D00AE">
      <w:pPr>
        <w:ind w:firstLine="720"/>
      </w:pPr>
      <w:r>
        <w:t>1</w:t>
      </w:r>
      <w:r w:rsidR="00F23FCB">
        <w:t>.</w:t>
      </w:r>
      <w:r>
        <w:tab/>
      </w:r>
      <w:r w:rsidR="007D00AE">
        <w:t>all e</w:t>
      </w:r>
      <w:r w:rsidRPr="002A16C3">
        <w:rPr>
          <w:rFonts w:hint="eastAsia"/>
        </w:rPr>
        <w:t>fforts taken to verify that defendant actually lives or works at the subject address;</w:t>
      </w:r>
    </w:p>
    <w:p w:rsidR="000A43AD" w:rsidRDefault="000A43AD" w:rsidP="002A16C3"/>
    <w:p w:rsidR="002A16C3" w:rsidRPr="002A16C3" w:rsidRDefault="002A16C3" w:rsidP="007D00AE">
      <w:pPr>
        <w:ind w:firstLine="720"/>
      </w:pPr>
      <w:r>
        <w:t>2</w:t>
      </w:r>
      <w:r w:rsidR="00F23FCB">
        <w:t>.</w:t>
      </w:r>
      <w:r>
        <w:tab/>
      </w:r>
      <w:r w:rsidR="007D00AE">
        <w:t>e</w:t>
      </w:r>
      <w:r w:rsidRPr="002A16C3">
        <w:rPr>
          <w:rFonts w:hint="eastAsia"/>
        </w:rPr>
        <w:t>ach attempt at service, with date(s) and time(s);</w:t>
      </w:r>
    </w:p>
    <w:p w:rsidR="000A43AD" w:rsidRDefault="000A43AD" w:rsidP="002A16C3"/>
    <w:p w:rsidR="002A16C3" w:rsidRPr="002A16C3" w:rsidRDefault="002A16C3" w:rsidP="007D00AE">
      <w:pPr>
        <w:ind w:firstLine="720"/>
      </w:pPr>
      <w:r>
        <w:t>3</w:t>
      </w:r>
      <w:r w:rsidR="00F23FCB">
        <w:t>.</w:t>
      </w:r>
      <w:r>
        <w:tab/>
      </w:r>
      <w:r w:rsidR="007D00AE">
        <w:t>i</w:t>
      </w:r>
      <w:r w:rsidRPr="002A16C3">
        <w:rPr>
          <w:rFonts w:hint="eastAsia"/>
        </w:rPr>
        <w:t>dentity of persons who were present at the subject address and what was said; and</w:t>
      </w:r>
    </w:p>
    <w:p w:rsidR="000A43AD" w:rsidRDefault="000A43AD" w:rsidP="002A16C3"/>
    <w:p w:rsidR="007D00AE" w:rsidRDefault="002A16C3" w:rsidP="007D00AE">
      <w:pPr>
        <w:ind w:firstLine="720"/>
      </w:pPr>
      <w:r>
        <w:t>4</w:t>
      </w:r>
      <w:r w:rsidR="00F23FCB">
        <w:t>.</w:t>
      </w:r>
      <w:r>
        <w:tab/>
      </w:r>
      <w:r w:rsidR="007D00AE">
        <w:t>a</w:t>
      </w:r>
      <w:r w:rsidRPr="002A16C3">
        <w:rPr>
          <w:rFonts w:hint="eastAsia"/>
        </w:rPr>
        <w:t xml:space="preserve"> printout of some public record or PublicData.com or similar online database confirming that the person to be served actually resides at the address at which service is being attempted.</w:t>
      </w:r>
    </w:p>
    <w:p w:rsidR="007D00AE" w:rsidRDefault="007D00AE" w:rsidP="007D00AE">
      <w:pPr>
        <w:ind w:firstLine="720"/>
      </w:pPr>
    </w:p>
    <w:p w:rsidR="002A16C3" w:rsidRPr="002A16C3" w:rsidRDefault="002A16C3" w:rsidP="007D00AE">
      <w:pPr>
        <w:ind w:firstLine="720"/>
      </w:pPr>
      <w:r w:rsidRPr="002A16C3">
        <w:rPr>
          <w:rFonts w:hint="eastAsia"/>
        </w:rPr>
        <w:t>This can also include a statement identifying license plates</w:t>
      </w:r>
      <w:r w:rsidR="007D00AE">
        <w:t xml:space="preserve"> </w:t>
      </w:r>
      <w:r w:rsidRPr="002A16C3">
        <w:rPr>
          <w:rFonts w:hint="eastAsia"/>
        </w:rPr>
        <w:t>of cars in the driveway and attaching a printout of license plates registered to the person to be served.</w:t>
      </w:r>
      <w:r w:rsidR="000A43AD">
        <w:t xml:space="preserve">  </w:t>
      </w:r>
      <w:r w:rsidRPr="002A16C3">
        <w:rPr>
          <w:rFonts w:hint="eastAsia"/>
        </w:rPr>
        <w:t>Statements by neighbors or by people residing in the abode must include the full name of the person and a description.</w:t>
      </w:r>
      <w:r w:rsidR="000A43AD">
        <w:t xml:space="preserve"> </w:t>
      </w:r>
      <w:r w:rsidRPr="002A16C3">
        <w:rPr>
          <w:rFonts w:hint="eastAsia"/>
        </w:rPr>
        <w:t xml:space="preserve"> The idea is to give the court some assurance that the person resides at that address.</w:t>
      </w:r>
    </w:p>
    <w:p w:rsidR="000A43AD" w:rsidRDefault="000A43AD" w:rsidP="002A16C3"/>
    <w:p w:rsidR="002A16C3" w:rsidRDefault="002A16C3" w:rsidP="007D00AE">
      <w:pPr>
        <w:ind w:firstLine="720"/>
      </w:pPr>
      <w:r w:rsidRPr="002A16C3">
        <w:rPr>
          <w:rFonts w:hint="eastAsia"/>
        </w:rPr>
        <w:t xml:space="preserve">Any Rule 106 Motion should be accompanied by </w:t>
      </w:r>
      <w:r w:rsidR="007D00AE">
        <w:t xml:space="preserve">the attached </w:t>
      </w:r>
      <w:r w:rsidRPr="002A16C3">
        <w:rPr>
          <w:rFonts w:hint="eastAsia"/>
        </w:rPr>
        <w:t xml:space="preserve">proposed </w:t>
      </w:r>
      <w:r w:rsidR="007D00AE">
        <w:t xml:space="preserve">form </w:t>
      </w:r>
      <w:r w:rsidRPr="002A16C3">
        <w:rPr>
          <w:rFonts w:hint="eastAsia"/>
        </w:rPr>
        <w:t>order.  Failure to do so may delay the court</w:t>
      </w:r>
      <w:r w:rsidRPr="002A16C3">
        <w:t>’</w:t>
      </w:r>
      <w:r w:rsidRPr="002A16C3">
        <w:rPr>
          <w:rFonts w:hint="eastAsia"/>
        </w:rPr>
        <w:t>s granting of an otherwise proper motion.</w:t>
      </w:r>
    </w:p>
    <w:p w:rsidR="00124D6C" w:rsidRDefault="00124D6C" w:rsidP="007D00AE">
      <w:pPr>
        <w:ind w:firstLine="720"/>
      </w:pPr>
    </w:p>
    <w:p w:rsidR="00124D6C" w:rsidRPr="002A16C3" w:rsidRDefault="00124D6C" w:rsidP="007D00AE">
      <w:pPr>
        <w:ind w:firstLine="720"/>
      </w:pPr>
      <w:r>
        <w:t xml:space="preserve">(source:  </w:t>
      </w:r>
      <w:r w:rsidRPr="00124D6C">
        <w:t>https://www.justex.net/Courts/Civil/CourtSection.aspx?crt=10&amp;sid=40</w:t>
      </w:r>
      <w:r>
        <w:t>)</w:t>
      </w:r>
    </w:p>
    <w:p w:rsidR="007D00AE" w:rsidRDefault="007D00AE" w:rsidP="002A16C3">
      <w:pPr>
        <w:sectPr w:rsidR="007D00AE">
          <w:pgSz w:w="12240" w:h="15840"/>
          <w:pgMar w:top="1440" w:right="1440" w:bottom="1440" w:left="1440" w:header="720" w:footer="720" w:gutter="0"/>
          <w:cols w:space="720"/>
          <w:docGrid w:linePitch="360"/>
        </w:sectPr>
      </w:pPr>
    </w:p>
    <w:p w:rsidR="007D00AE" w:rsidRDefault="007D00AE" w:rsidP="002A16C3">
      <w:pPr>
        <w:sectPr w:rsidR="007D00AE" w:rsidSect="007D00AE">
          <w:type w:val="continuous"/>
          <w:pgSz w:w="12240" w:h="15840"/>
          <w:pgMar w:top="1440" w:right="1440" w:bottom="1440" w:left="1440" w:header="720" w:footer="720" w:gutter="0"/>
          <w:cols w:space="720"/>
          <w:docGrid w:linePitch="360"/>
        </w:sectPr>
      </w:pPr>
    </w:p>
    <w:p w:rsidR="007D00AE" w:rsidRPr="00062C27" w:rsidRDefault="007D00AE" w:rsidP="007D00AE">
      <w:pPr>
        <w:jc w:val="center"/>
        <w:rPr>
          <w:b/>
          <w:szCs w:val="26"/>
          <w:u w:val="single"/>
        </w:rPr>
      </w:pPr>
      <w:r w:rsidRPr="00062C27">
        <w:rPr>
          <w:b/>
          <w:szCs w:val="26"/>
        </w:rPr>
        <w:t xml:space="preserve">CAUSE NO. </w:t>
      </w:r>
      <w:r>
        <w:rPr>
          <w:b/>
          <w:szCs w:val="26"/>
        </w:rPr>
        <w:t xml:space="preserve"> </w:t>
      </w:r>
      <w:bookmarkStart w:id="1" w:name="CaseNum07"/>
      <w:r>
        <w:rPr>
          <w:b/>
          <w:szCs w:val="26"/>
          <w:u w:val="single"/>
        </w:rPr>
        <w:t>&lt;_CaseNum_&gt;</w:t>
      </w:r>
      <w:bookmarkEnd w:id="1"/>
    </w:p>
    <w:p w:rsidR="007D00AE" w:rsidRPr="00062C27" w:rsidRDefault="007D00AE" w:rsidP="007D00AE">
      <w:pPr>
        <w:rPr>
          <w:b/>
          <w:szCs w:val="26"/>
        </w:rPr>
      </w:pPr>
    </w:p>
    <w:tbl>
      <w:tblPr>
        <w:tblW w:w="0" w:type="auto"/>
        <w:jc w:val="center"/>
        <w:tblLayout w:type="fixed"/>
        <w:tblCellMar>
          <w:left w:w="120" w:type="dxa"/>
          <w:right w:w="120" w:type="dxa"/>
        </w:tblCellMar>
        <w:tblLook w:val="0000" w:firstRow="0" w:lastRow="0" w:firstColumn="0" w:lastColumn="0" w:noHBand="0" w:noVBand="0"/>
      </w:tblPr>
      <w:tblGrid>
        <w:gridCol w:w="4860"/>
        <w:gridCol w:w="4500"/>
      </w:tblGrid>
      <w:tr w:rsidR="007D00AE" w:rsidRPr="00062C27" w:rsidTr="00CD68A7">
        <w:trPr>
          <w:trHeight w:val="477"/>
          <w:jc w:val="center"/>
        </w:trPr>
        <w:tc>
          <w:tcPr>
            <w:tcW w:w="4860" w:type="dxa"/>
            <w:vMerge w:val="restart"/>
            <w:tcBorders>
              <w:top w:val="nil"/>
              <w:left w:val="nil"/>
              <w:right w:val="single" w:sz="7" w:space="0" w:color="000000"/>
            </w:tcBorders>
            <w:vAlign w:val="center"/>
          </w:tcPr>
          <w:p w:rsidR="007D00AE" w:rsidRPr="00062C27" w:rsidRDefault="007D00AE" w:rsidP="00CD68A7">
            <w:pPr>
              <w:spacing w:after="58"/>
              <w:rPr>
                <w:b/>
                <w:szCs w:val="26"/>
              </w:rPr>
            </w:pPr>
            <w:bookmarkStart w:id="2" w:name="Style07"/>
            <w:r>
              <w:rPr>
                <w:b/>
                <w:szCs w:val="26"/>
              </w:rPr>
              <w:t>&lt;_Style_&gt;</w:t>
            </w:r>
            <w:bookmarkEnd w:id="2"/>
          </w:p>
        </w:tc>
        <w:tc>
          <w:tcPr>
            <w:tcW w:w="4500" w:type="dxa"/>
            <w:tcBorders>
              <w:top w:val="nil"/>
              <w:left w:val="single" w:sz="7" w:space="0" w:color="000000"/>
              <w:bottom w:val="nil"/>
              <w:right w:val="nil"/>
            </w:tcBorders>
          </w:tcPr>
          <w:p w:rsidR="007D00AE" w:rsidRPr="00062C27" w:rsidRDefault="007D00AE" w:rsidP="00CD68A7">
            <w:pPr>
              <w:contextualSpacing/>
              <w:jc w:val="right"/>
              <w:rPr>
                <w:b/>
                <w:szCs w:val="26"/>
              </w:rPr>
            </w:pPr>
            <w:r w:rsidRPr="00062C27">
              <w:rPr>
                <w:b/>
                <w:szCs w:val="26"/>
              </w:rPr>
              <w:t>IN THE DISTRICT COURT</w:t>
            </w:r>
          </w:p>
        </w:tc>
      </w:tr>
      <w:tr w:rsidR="007D00AE" w:rsidRPr="00062C27" w:rsidTr="00CD68A7">
        <w:trPr>
          <w:trHeight w:val="540"/>
          <w:jc w:val="center"/>
        </w:trPr>
        <w:tc>
          <w:tcPr>
            <w:tcW w:w="4860" w:type="dxa"/>
            <w:vMerge/>
            <w:tcBorders>
              <w:left w:val="nil"/>
              <w:right w:val="single" w:sz="7" w:space="0" w:color="000000"/>
            </w:tcBorders>
            <w:vAlign w:val="center"/>
          </w:tcPr>
          <w:p w:rsidR="007D00AE" w:rsidRPr="00062C27" w:rsidRDefault="007D00AE" w:rsidP="00CD68A7">
            <w:pPr>
              <w:rPr>
                <w:b/>
                <w:szCs w:val="26"/>
              </w:rPr>
            </w:pPr>
          </w:p>
        </w:tc>
        <w:tc>
          <w:tcPr>
            <w:tcW w:w="4500" w:type="dxa"/>
            <w:tcBorders>
              <w:top w:val="nil"/>
              <w:left w:val="single" w:sz="7" w:space="0" w:color="000000"/>
              <w:bottom w:val="nil"/>
              <w:right w:val="nil"/>
            </w:tcBorders>
          </w:tcPr>
          <w:p w:rsidR="007D00AE" w:rsidRPr="00062C27" w:rsidRDefault="007D00AE" w:rsidP="00CD68A7">
            <w:pPr>
              <w:contextualSpacing/>
              <w:jc w:val="right"/>
              <w:rPr>
                <w:b/>
                <w:szCs w:val="26"/>
              </w:rPr>
            </w:pPr>
            <w:r w:rsidRPr="00062C27">
              <w:rPr>
                <w:b/>
                <w:szCs w:val="26"/>
              </w:rPr>
              <w:t>134</w:t>
            </w:r>
            <w:r w:rsidRPr="00B35C7C">
              <w:rPr>
                <w:b/>
                <w:szCs w:val="26"/>
                <w:vertAlign w:val="superscript"/>
              </w:rPr>
              <w:t>TH</w:t>
            </w:r>
            <w:r>
              <w:rPr>
                <w:b/>
                <w:szCs w:val="26"/>
              </w:rPr>
              <w:t xml:space="preserve"> </w:t>
            </w:r>
            <w:r w:rsidRPr="00062C27">
              <w:rPr>
                <w:b/>
                <w:szCs w:val="26"/>
              </w:rPr>
              <w:t>JUDICIAL DISTRICT</w:t>
            </w:r>
          </w:p>
        </w:tc>
      </w:tr>
      <w:tr w:rsidR="007D00AE" w:rsidRPr="00062C27" w:rsidTr="00CD68A7">
        <w:trPr>
          <w:trHeight w:val="360"/>
          <w:jc w:val="center"/>
        </w:trPr>
        <w:tc>
          <w:tcPr>
            <w:tcW w:w="4860" w:type="dxa"/>
            <w:vMerge/>
            <w:tcBorders>
              <w:left w:val="nil"/>
              <w:bottom w:val="single" w:sz="7" w:space="0" w:color="000000"/>
              <w:right w:val="single" w:sz="7" w:space="0" w:color="000000"/>
            </w:tcBorders>
            <w:vAlign w:val="center"/>
          </w:tcPr>
          <w:p w:rsidR="007D00AE" w:rsidRPr="00062C27" w:rsidRDefault="007D00AE" w:rsidP="00CD68A7">
            <w:pPr>
              <w:rPr>
                <w:b/>
                <w:szCs w:val="26"/>
              </w:rPr>
            </w:pPr>
          </w:p>
        </w:tc>
        <w:tc>
          <w:tcPr>
            <w:tcW w:w="4500" w:type="dxa"/>
            <w:tcBorders>
              <w:top w:val="nil"/>
              <w:left w:val="single" w:sz="7" w:space="0" w:color="000000"/>
              <w:bottom w:val="single" w:sz="7" w:space="0" w:color="000000"/>
              <w:right w:val="nil"/>
            </w:tcBorders>
            <w:vAlign w:val="bottom"/>
          </w:tcPr>
          <w:p w:rsidR="007D00AE" w:rsidRPr="00062C27" w:rsidRDefault="007D00AE" w:rsidP="00CD68A7">
            <w:pPr>
              <w:contextualSpacing/>
              <w:jc w:val="right"/>
              <w:rPr>
                <w:b/>
                <w:szCs w:val="26"/>
              </w:rPr>
            </w:pPr>
            <w:r w:rsidRPr="00062C27">
              <w:rPr>
                <w:b/>
                <w:szCs w:val="26"/>
              </w:rPr>
              <w:t>DALLAS COUNTY, TEXAS</w:t>
            </w:r>
          </w:p>
        </w:tc>
      </w:tr>
    </w:tbl>
    <w:p w:rsidR="007D00AE" w:rsidRDefault="007D00AE" w:rsidP="007D00AE"/>
    <w:p w:rsidR="007D00AE" w:rsidRPr="007E7CC0" w:rsidRDefault="007D00AE" w:rsidP="007D00AE">
      <w:pPr>
        <w:pStyle w:val="Caption"/>
        <w:spacing w:line="240" w:lineRule="exact"/>
        <w:rPr>
          <w:u w:val="single"/>
        </w:rPr>
      </w:pPr>
      <w:r w:rsidRPr="007E7CC0">
        <w:rPr>
          <w:u w:val="single"/>
        </w:rPr>
        <w:t>ORDER GRANTING SUBSTITUTE SERVICE OF PROCESS</w:t>
      </w:r>
    </w:p>
    <w:p w:rsidR="007D00AE" w:rsidRDefault="007D00AE" w:rsidP="007D00AE">
      <w:pPr>
        <w:ind w:firstLine="720"/>
      </w:pPr>
    </w:p>
    <w:p w:rsidR="007D00AE" w:rsidRDefault="007D00AE" w:rsidP="007D00AE">
      <w:pPr>
        <w:pStyle w:val="BodyTextIndent"/>
        <w:jc w:val="both"/>
      </w:pPr>
      <w:r>
        <w:t xml:space="preserve">ON THIS DAY came on for consideration the Plaintiff’s Motion for Substitute Service Under Rule 106(b), Texas Rules of Civil Procedure.  It appears to the Court that Plaintiff has attempted but failed to personally serve the Defendant, </w:t>
      </w:r>
      <w:r w:rsidRPr="00796BE9">
        <w:rPr>
          <w:u w:val="single"/>
        </w:rPr>
        <w:t>Perry the Platypus</w:t>
      </w:r>
      <w:r>
        <w:rPr>
          <w:b/>
        </w:rPr>
        <w:t xml:space="preserve"> </w:t>
      </w:r>
      <w:r>
        <w:t>at the last known usual place of abode or business.  It further appears to the Court that the manner of service ordered herein will be reasonably effective to give said defendant notice of the lawsuit.</w:t>
      </w:r>
    </w:p>
    <w:p w:rsidR="007D00AE" w:rsidRDefault="007D00AE" w:rsidP="007D00AE">
      <w:pPr>
        <w:pStyle w:val="BodyTextIndent"/>
        <w:jc w:val="both"/>
        <w:rPr>
          <w:b/>
          <w:bCs/>
        </w:rPr>
      </w:pPr>
      <w:r w:rsidRPr="00796BE9">
        <w:rPr>
          <w:b/>
        </w:rPr>
        <w:t xml:space="preserve">IT IS THEREFORE, </w:t>
      </w:r>
      <w:r>
        <w:rPr>
          <w:rFonts w:ascii="Times" w:hAnsi="Times"/>
          <w:b/>
          <w:bCs/>
          <w:caps/>
        </w:rPr>
        <w:t xml:space="preserve">Ordered, adjudged, </w:t>
      </w:r>
      <w:r>
        <w:rPr>
          <w:rFonts w:ascii="Times" w:hAnsi="Times"/>
          <w:b/>
          <w:bCs/>
        </w:rPr>
        <w:t>and</w:t>
      </w:r>
      <w:r>
        <w:rPr>
          <w:rFonts w:ascii="Times" w:hAnsi="Times"/>
          <w:b/>
          <w:bCs/>
          <w:caps/>
        </w:rPr>
        <w:t xml:space="preserve"> decreed</w:t>
      </w:r>
      <w:r>
        <w:rPr>
          <w:b/>
          <w:bCs/>
        </w:rPr>
        <w:t xml:space="preserve"> </w:t>
      </w:r>
      <w:r>
        <w:t xml:space="preserve">that the Motion for Substitute Service is </w:t>
      </w:r>
      <w:r>
        <w:rPr>
          <w:b/>
          <w:bCs/>
        </w:rPr>
        <w:t>GRANTED.</w:t>
      </w:r>
    </w:p>
    <w:p w:rsidR="007D00AE" w:rsidRDefault="007D00AE" w:rsidP="007D00AE">
      <w:pPr>
        <w:pStyle w:val="BodyTextIndent"/>
        <w:jc w:val="both"/>
      </w:pPr>
      <w:r w:rsidRPr="00796BE9">
        <w:rPr>
          <w:b/>
        </w:rPr>
        <w:t xml:space="preserve">IT IS FURTHER, </w:t>
      </w:r>
      <w:r>
        <w:rPr>
          <w:rFonts w:ascii="Times" w:hAnsi="Times"/>
          <w:b/>
          <w:bCs/>
          <w:caps/>
        </w:rPr>
        <w:t xml:space="preserve">Ordered, adjudged, </w:t>
      </w:r>
      <w:r>
        <w:rPr>
          <w:rFonts w:ascii="Times" w:hAnsi="Times"/>
          <w:b/>
          <w:bCs/>
        </w:rPr>
        <w:t>and</w:t>
      </w:r>
      <w:r>
        <w:rPr>
          <w:rFonts w:ascii="Times" w:hAnsi="Times"/>
          <w:b/>
          <w:bCs/>
          <w:caps/>
        </w:rPr>
        <w:t xml:space="preserve"> decreed</w:t>
      </w:r>
      <w:r>
        <w:rPr>
          <w:b/>
          <w:bCs/>
        </w:rPr>
        <w:t xml:space="preserve"> </w:t>
      </w:r>
      <w:r>
        <w:t xml:space="preserve">that service of process may be made upon the Defendant, </w:t>
      </w:r>
      <w:r w:rsidRPr="00796BE9">
        <w:rPr>
          <w:u w:val="single"/>
        </w:rPr>
        <w:t>Perry the Platypus</w:t>
      </w:r>
      <w:r>
        <w:rPr>
          <w:b/>
        </w:rPr>
        <w:t xml:space="preserve">, </w:t>
      </w:r>
      <w:r>
        <w:t xml:space="preserve">either: (1) by leaving a true copy of the citation, with a copy of the Petition and this Order authorizing substituted service attached, with anyone over sixteen (16) years of age at, </w:t>
      </w:r>
      <w:r w:rsidRPr="00796BE9">
        <w:rPr>
          <w:u w:val="single"/>
        </w:rPr>
        <w:t xml:space="preserve">221B Baker Street, </w:t>
      </w:r>
      <w:r>
        <w:rPr>
          <w:u w:val="single"/>
        </w:rPr>
        <w:t>Dallas, Texas 75202</w:t>
      </w:r>
      <w:r>
        <w:rPr>
          <w:b/>
          <w:bCs/>
        </w:rPr>
        <w:t>;</w:t>
      </w:r>
      <w:r>
        <w:t xml:space="preserve"> or (2) by firmly affixing a true copy of the citation, with a copy of the Petition and this Order authorizing substitute service attached, to the front door of </w:t>
      </w:r>
      <w:r>
        <w:rPr>
          <w:bCs/>
        </w:rPr>
        <w:t>Defendant’s</w:t>
      </w:r>
      <w:r>
        <w:t xml:space="preserve"> last known usual place of abode or business at the above address.</w:t>
      </w:r>
    </w:p>
    <w:p w:rsidR="007D00AE" w:rsidRDefault="007D00AE" w:rsidP="007D00AE">
      <w:pPr>
        <w:spacing w:line="480" w:lineRule="auto"/>
        <w:ind w:firstLine="720"/>
        <w:jc w:val="both"/>
        <w:rPr>
          <w:rFonts w:ascii="Times" w:hAnsi="Times"/>
        </w:rPr>
      </w:pPr>
      <w:r w:rsidRPr="00796BE9">
        <w:rPr>
          <w:b/>
        </w:rPr>
        <w:t xml:space="preserve">IT IS FURTHER </w:t>
      </w:r>
      <w:r>
        <w:rPr>
          <w:rFonts w:ascii="Times" w:hAnsi="Times"/>
          <w:b/>
          <w:bCs/>
          <w:caps/>
        </w:rPr>
        <w:t xml:space="preserve">Ordered, adjudged, </w:t>
      </w:r>
      <w:r>
        <w:rPr>
          <w:rFonts w:ascii="Times" w:hAnsi="Times"/>
          <w:b/>
          <w:bCs/>
        </w:rPr>
        <w:t>and</w:t>
      </w:r>
      <w:r>
        <w:rPr>
          <w:rFonts w:ascii="Times" w:hAnsi="Times"/>
          <w:b/>
          <w:bCs/>
          <w:caps/>
        </w:rPr>
        <w:t xml:space="preserve"> decreed</w:t>
      </w:r>
      <w:r>
        <w:rPr>
          <w:rFonts w:ascii="Times" w:hAnsi="Times"/>
          <w:caps/>
        </w:rPr>
        <w:t xml:space="preserve"> </w:t>
      </w:r>
      <w:r>
        <w:rPr>
          <w:rFonts w:ascii="Times" w:hAnsi="Times"/>
        </w:rPr>
        <w:t>that the service made by the above method shall not be deemed perfected unless it also complies with the following provisions:</w:t>
      </w:r>
    </w:p>
    <w:p w:rsidR="007D00AE" w:rsidRDefault="007D00AE" w:rsidP="007D00AE">
      <w:pPr>
        <w:numPr>
          <w:ilvl w:val="0"/>
          <w:numId w:val="1"/>
        </w:numPr>
        <w:jc w:val="both"/>
        <w:rPr>
          <w:rFonts w:ascii="Times" w:hAnsi="Times"/>
        </w:rPr>
      </w:pPr>
      <w:r>
        <w:rPr>
          <w:rFonts w:ascii="Times" w:hAnsi="Times"/>
        </w:rPr>
        <w:t>a copy of the citation, Petition, and this Order shall be mailed by BOTH certified mail, return receipt requested, AND by regular mail to the Defendant at the same address at which service is authorized above;</w:t>
      </w:r>
    </w:p>
    <w:p w:rsidR="007D00AE" w:rsidRDefault="007D00AE" w:rsidP="007D00AE">
      <w:pPr>
        <w:ind w:left="1080"/>
        <w:jc w:val="both"/>
        <w:rPr>
          <w:rFonts w:ascii="Times" w:hAnsi="Times"/>
        </w:rPr>
      </w:pPr>
    </w:p>
    <w:p w:rsidR="007D00AE" w:rsidRDefault="007D00AE" w:rsidP="007D00AE">
      <w:pPr>
        <w:numPr>
          <w:ilvl w:val="0"/>
          <w:numId w:val="1"/>
        </w:numPr>
        <w:jc w:val="both"/>
        <w:rPr>
          <w:rFonts w:ascii="Times" w:hAnsi="Times"/>
        </w:rPr>
      </w:pPr>
      <w:r w:rsidRPr="00796BE9">
        <w:rPr>
          <w:rFonts w:ascii="Times" w:hAnsi="Times"/>
        </w:rPr>
        <w:t xml:space="preserve">the return of service shall not be made until 30 days after mailing or until the process server receives back the green card from the post office, whichever date is earlier; </w:t>
      </w:r>
    </w:p>
    <w:p w:rsidR="007D00AE" w:rsidRDefault="007D00AE" w:rsidP="007D00AE">
      <w:pPr>
        <w:ind w:left="1080"/>
        <w:jc w:val="both"/>
        <w:rPr>
          <w:rFonts w:ascii="Times" w:hAnsi="Times"/>
        </w:rPr>
      </w:pPr>
    </w:p>
    <w:p w:rsidR="007D00AE" w:rsidRDefault="007D00AE" w:rsidP="007D00AE">
      <w:pPr>
        <w:numPr>
          <w:ilvl w:val="0"/>
          <w:numId w:val="1"/>
        </w:numPr>
        <w:jc w:val="both"/>
        <w:rPr>
          <w:rFonts w:ascii="Times" w:hAnsi="Times"/>
        </w:rPr>
      </w:pPr>
      <w:r w:rsidRPr="00796BE9">
        <w:rPr>
          <w:rFonts w:ascii="Times" w:hAnsi="Times"/>
        </w:rPr>
        <w:t>the retu</w:t>
      </w:r>
      <w:r>
        <w:rPr>
          <w:rFonts w:ascii="Times" w:hAnsi="Times"/>
        </w:rPr>
        <w:t xml:space="preserve">rn of service shall include a </w:t>
      </w:r>
      <w:r w:rsidRPr="00796BE9">
        <w:rPr>
          <w:rFonts w:ascii="Times" w:hAnsi="Times"/>
        </w:rPr>
        <w:t>statement setting out the date of mailing and the result of the mailing by certified mail, and the date of mailing and result of same by regular mail (</w:t>
      </w:r>
      <w:r w:rsidRPr="00796BE9">
        <w:rPr>
          <w:rFonts w:ascii="Times" w:hAnsi="Times"/>
          <w:i/>
          <w:iCs/>
        </w:rPr>
        <w:t>i.e.,</w:t>
      </w:r>
      <w:r w:rsidRPr="00796BE9">
        <w:rPr>
          <w:rFonts w:ascii="Times" w:hAnsi="Times"/>
        </w:rPr>
        <w:t xml:space="preserve"> whether the envelope was returned by the post office, the green card came back signed, etc.); and </w:t>
      </w:r>
    </w:p>
    <w:p w:rsidR="007D00AE" w:rsidRDefault="007D00AE" w:rsidP="007D00AE">
      <w:pPr>
        <w:pStyle w:val="ListParagraph"/>
        <w:rPr>
          <w:rFonts w:ascii="Times" w:hAnsi="Times"/>
        </w:rPr>
      </w:pPr>
    </w:p>
    <w:p w:rsidR="007D00AE" w:rsidRPr="00796BE9" w:rsidRDefault="007D00AE" w:rsidP="007D00AE">
      <w:pPr>
        <w:numPr>
          <w:ilvl w:val="0"/>
          <w:numId w:val="1"/>
        </w:numPr>
        <w:jc w:val="both"/>
        <w:rPr>
          <w:rFonts w:ascii="Times" w:hAnsi="Times"/>
        </w:rPr>
      </w:pPr>
      <w:r w:rsidRPr="00796BE9">
        <w:rPr>
          <w:rFonts w:ascii="Times" w:hAnsi="Times"/>
        </w:rPr>
        <w:t xml:space="preserve">a copy of any envelope or green card returned by the post office shall be attached to the return of service.  </w:t>
      </w:r>
    </w:p>
    <w:p w:rsidR="007D00AE" w:rsidRDefault="007D00AE" w:rsidP="007D00AE">
      <w:pPr>
        <w:ind w:left="720" w:firstLine="720"/>
        <w:jc w:val="both"/>
        <w:rPr>
          <w:rFonts w:ascii="Times" w:hAnsi="Times"/>
        </w:rPr>
      </w:pPr>
    </w:p>
    <w:p w:rsidR="007D00AE" w:rsidRDefault="007D00AE" w:rsidP="007D00AE">
      <w:pPr>
        <w:spacing w:line="480" w:lineRule="auto"/>
        <w:ind w:firstLine="720"/>
        <w:jc w:val="both"/>
        <w:rPr>
          <w:rFonts w:ascii="Times" w:hAnsi="Times"/>
        </w:rPr>
      </w:pPr>
      <w:r w:rsidRPr="00796BE9">
        <w:rPr>
          <w:rFonts w:ascii="Times" w:hAnsi="Times"/>
          <w:b/>
        </w:rPr>
        <w:t xml:space="preserve">IT IS FURTHER </w:t>
      </w:r>
      <w:r>
        <w:rPr>
          <w:rFonts w:ascii="Times" w:hAnsi="Times"/>
          <w:b/>
          <w:bCs/>
          <w:caps/>
        </w:rPr>
        <w:t xml:space="preserve">Ordered, adjudged, </w:t>
      </w:r>
      <w:r>
        <w:rPr>
          <w:rFonts w:ascii="Times" w:hAnsi="Times"/>
          <w:b/>
          <w:bCs/>
        </w:rPr>
        <w:t>and</w:t>
      </w:r>
      <w:r>
        <w:rPr>
          <w:rFonts w:ascii="Times" w:hAnsi="Times"/>
          <w:b/>
          <w:bCs/>
          <w:caps/>
        </w:rPr>
        <w:t xml:space="preserve"> decreed</w:t>
      </w:r>
      <w:r>
        <w:rPr>
          <w:rFonts w:ascii="Times" w:hAnsi="Times"/>
          <w:caps/>
        </w:rPr>
        <w:t xml:space="preserve"> </w:t>
      </w:r>
      <w:r>
        <w:rPr>
          <w:rFonts w:ascii="Times" w:hAnsi="Times"/>
        </w:rPr>
        <w:t>that the return of service of the person executing service pursuant to this Order shall otherwise be made in accordance with Rule 107, Texas Rules of Civil Procedure.</w:t>
      </w:r>
    </w:p>
    <w:p w:rsidR="007D00AE" w:rsidRDefault="007D00AE" w:rsidP="007D00AE">
      <w:pPr>
        <w:spacing w:line="480" w:lineRule="auto"/>
        <w:ind w:firstLine="720"/>
        <w:jc w:val="both"/>
        <w:rPr>
          <w:rFonts w:ascii="Times" w:hAnsi="Times"/>
        </w:rPr>
      </w:pPr>
      <w:r w:rsidRPr="00796BE9">
        <w:rPr>
          <w:rFonts w:ascii="Times" w:hAnsi="Times"/>
          <w:b/>
        </w:rPr>
        <w:t>IT IS FURTHER</w:t>
      </w:r>
      <w:r>
        <w:rPr>
          <w:rFonts w:ascii="Times" w:hAnsi="Times"/>
          <w:b/>
        </w:rPr>
        <w:t xml:space="preserve"> </w:t>
      </w:r>
      <w:r>
        <w:rPr>
          <w:rFonts w:ascii="Times" w:hAnsi="Times"/>
          <w:b/>
          <w:bCs/>
          <w:caps/>
        </w:rPr>
        <w:t xml:space="preserve">Ordered, adjudged, </w:t>
      </w:r>
      <w:r>
        <w:rPr>
          <w:rFonts w:ascii="Times" w:hAnsi="Times"/>
          <w:b/>
          <w:bCs/>
        </w:rPr>
        <w:t>and</w:t>
      </w:r>
      <w:r>
        <w:rPr>
          <w:rFonts w:ascii="Times" w:hAnsi="Times"/>
          <w:b/>
          <w:bCs/>
          <w:caps/>
        </w:rPr>
        <w:t xml:space="preserve"> decreed </w:t>
      </w:r>
      <w:r>
        <w:rPr>
          <w:rFonts w:ascii="Times" w:hAnsi="Times"/>
        </w:rPr>
        <w:t>that service of process will be deemed complete upon compliance with this Order, regardless of whether Defendant signs the certified mail receipt.</w:t>
      </w:r>
    </w:p>
    <w:p w:rsidR="007D00AE" w:rsidRPr="00EF7672" w:rsidRDefault="007D00AE" w:rsidP="007D00AE">
      <w:pPr>
        <w:ind w:firstLine="720"/>
        <w:jc w:val="both"/>
      </w:pPr>
    </w:p>
    <w:p w:rsidR="007D00AE" w:rsidRPr="00EF7672" w:rsidRDefault="007D00AE" w:rsidP="007D00AE">
      <w:pPr>
        <w:ind w:firstLine="720"/>
        <w:jc w:val="both"/>
        <w:rPr>
          <w:szCs w:val="26"/>
          <w:u w:val="single"/>
        </w:rPr>
      </w:pPr>
      <w:r w:rsidRPr="00EF7672">
        <w:rPr>
          <w:b/>
          <w:szCs w:val="26"/>
        </w:rPr>
        <w:t>SIGNED</w:t>
      </w:r>
      <w:r w:rsidRPr="00EF7672">
        <w:rPr>
          <w:szCs w:val="26"/>
        </w:rPr>
        <w:t xml:space="preserve"> on </w:t>
      </w:r>
      <w:r w:rsidRPr="00EF7672">
        <w:rPr>
          <w:szCs w:val="26"/>
          <w:u w:val="single"/>
        </w:rPr>
        <w:t xml:space="preserve">  </w:t>
      </w:r>
      <w:r>
        <w:rPr>
          <w:szCs w:val="26"/>
          <w:u w:val="single"/>
        </w:rPr>
        <w:t>July 4, 1776</w:t>
      </w:r>
      <w:r w:rsidRPr="00EF7672">
        <w:rPr>
          <w:szCs w:val="26"/>
          <w:u w:val="single"/>
        </w:rPr>
        <w:t xml:space="preserve">  .</w:t>
      </w:r>
    </w:p>
    <w:p w:rsidR="007D00AE" w:rsidRPr="00EF7672" w:rsidRDefault="007D00AE" w:rsidP="007D00AE">
      <w:pPr>
        <w:jc w:val="both"/>
        <w:rPr>
          <w:szCs w:val="26"/>
        </w:rPr>
      </w:pPr>
    </w:p>
    <w:p w:rsidR="007D00AE" w:rsidRPr="00EF7672" w:rsidRDefault="007D00AE" w:rsidP="007D00AE">
      <w:pPr>
        <w:jc w:val="both"/>
        <w:rPr>
          <w:szCs w:val="26"/>
        </w:rPr>
      </w:pPr>
    </w:p>
    <w:p w:rsidR="007D00AE" w:rsidRPr="00EF7672" w:rsidRDefault="007D00AE" w:rsidP="007D00AE">
      <w:pPr>
        <w:ind w:left="4320" w:firstLine="720"/>
        <w:jc w:val="both"/>
        <w:rPr>
          <w:szCs w:val="26"/>
        </w:rPr>
      </w:pPr>
      <w:r w:rsidRPr="00EF7672">
        <w:rPr>
          <w:szCs w:val="26"/>
        </w:rPr>
        <w:t>_____________________________</w:t>
      </w:r>
    </w:p>
    <w:p w:rsidR="007D00AE" w:rsidRPr="00EF7672" w:rsidRDefault="007D00AE" w:rsidP="007D00AE">
      <w:pPr>
        <w:ind w:left="4320" w:firstLine="720"/>
        <w:jc w:val="both"/>
        <w:rPr>
          <w:szCs w:val="26"/>
        </w:rPr>
      </w:pPr>
      <w:r w:rsidRPr="00EF7672">
        <w:rPr>
          <w:szCs w:val="26"/>
        </w:rPr>
        <w:t>Dale B. Tillery, Presiding</w:t>
      </w:r>
    </w:p>
    <w:p w:rsidR="00BF7BD7" w:rsidRPr="002A16C3" w:rsidRDefault="007D00AE" w:rsidP="00124D6C">
      <w:pPr>
        <w:ind w:left="4320" w:firstLine="720"/>
        <w:jc w:val="both"/>
      </w:pPr>
      <w:r w:rsidRPr="00EF7672">
        <w:rPr>
          <w:szCs w:val="26"/>
        </w:rPr>
        <w:t>Judge, 134th Judicial District Court</w:t>
      </w:r>
    </w:p>
    <w:sectPr w:rsidR="00BF7BD7" w:rsidRPr="002A16C3" w:rsidSect="007D00AE">
      <w:foot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0AE" w:rsidRDefault="007D00AE" w:rsidP="007D00AE">
      <w:r>
        <w:separator/>
      </w:r>
    </w:p>
  </w:endnote>
  <w:endnote w:type="continuationSeparator" w:id="0">
    <w:p w:rsidR="007D00AE" w:rsidRDefault="007D00AE" w:rsidP="007D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67A" w:rsidRPr="0034767A" w:rsidRDefault="00124D6C" w:rsidP="0034767A">
    <w:pPr>
      <w:pStyle w:val="Footer"/>
      <w:rPr>
        <w:b/>
        <w:sz w:val="20"/>
      </w:rPr>
    </w:pPr>
    <w:r w:rsidRPr="0034767A">
      <w:rPr>
        <w:rFonts w:ascii="Times New Roman Bold" w:hAnsi="Times New Roman Bold"/>
        <w:b/>
        <w:sz w:val="20"/>
      </w:rPr>
      <w:t>ORDER GRANTING SUBSTITUTE SERVICE OF PROCESS</w:t>
    </w:r>
    <w:r w:rsidRPr="0034767A">
      <w:rPr>
        <w:b/>
        <w:sz w:val="20"/>
      </w:rPr>
      <w:tab/>
    </w:r>
    <w:r w:rsidRPr="0034767A">
      <w:rPr>
        <w:b/>
        <w:sz w:val="20"/>
        <w:szCs w:val="26"/>
      </w:rPr>
      <w:t xml:space="preserve">Page | </w:t>
    </w:r>
    <w:r w:rsidRPr="0034767A">
      <w:rPr>
        <w:b/>
        <w:sz w:val="20"/>
        <w:szCs w:val="26"/>
      </w:rPr>
      <w:fldChar w:fldCharType="begin"/>
    </w:r>
    <w:r w:rsidRPr="0034767A">
      <w:rPr>
        <w:b/>
        <w:sz w:val="20"/>
        <w:szCs w:val="26"/>
      </w:rPr>
      <w:instrText xml:space="preserve"> PAGE   \* MERGEFORMAT </w:instrText>
    </w:r>
    <w:r w:rsidRPr="0034767A">
      <w:rPr>
        <w:b/>
        <w:sz w:val="20"/>
        <w:szCs w:val="26"/>
      </w:rPr>
      <w:fldChar w:fldCharType="separate"/>
    </w:r>
    <w:r w:rsidR="00CC7320">
      <w:rPr>
        <w:b/>
        <w:noProof/>
        <w:sz w:val="20"/>
        <w:szCs w:val="26"/>
      </w:rPr>
      <w:t>2</w:t>
    </w:r>
    <w:r w:rsidRPr="0034767A">
      <w:rPr>
        <w:b/>
        <w:sz w:val="20"/>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0AE" w:rsidRDefault="007D00AE" w:rsidP="007D00AE">
      <w:r>
        <w:separator/>
      </w:r>
    </w:p>
  </w:footnote>
  <w:footnote w:type="continuationSeparator" w:id="0">
    <w:p w:rsidR="007D00AE" w:rsidRDefault="007D00AE" w:rsidP="007D00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C82DCF"/>
    <w:multiLevelType w:val="hybridMultilevel"/>
    <w:tmpl w:val="04F46366"/>
    <w:lvl w:ilvl="0" w:tplc="D10C65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C3"/>
    <w:rsid w:val="000A43AD"/>
    <w:rsid w:val="00124D6C"/>
    <w:rsid w:val="002A16C3"/>
    <w:rsid w:val="0062119B"/>
    <w:rsid w:val="007D00AE"/>
    <w:rsid w:val="00BF7BD7"/>
    <w:rsid w:val="00CC7320"/>
    <w:rsid w:val="00D74B2D"/>
    <w:rsid w:val="00F23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CB86A9E-D535-4373-822E-44124EF6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6"/>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16C3"/>
    <w:rPr>
      <w:color w:val="0000FF"/>
      <w:u w:val="single"/>
    </w:rPr>
  </w:style>
  <w:style w:type="paragraph" w:customStyle="1" w:styleId="level1">
    <w:name w:val="level1"/>
    <w:basedOn w:val="Normal"/>
    <w:rsid w:val="002A16C3"/>
    <w:pPr>
      <w:spacing w:before="100" w:beforeAutospacing="1" w:after="100" w:afterAutospacing="1"/>
    </w:pPr>
    <w:rPr>
      <w:rFonts w:eastAsia="Times New Roman"/>
      <w:sz w:val="24"/>
      <w:szCs w:val="24"/>
    </w:rPr>
  </w:style>
  <w:style w:type="paragraph" w:styleId="NormalWeb">
    <w:name w:val="Normal (Web)"/>
    <w:basedOn w:val="Normal"/>
    <w:uiPriority w:val="99"/>
    <w:semiHidden/>
    <w:unhideWhenUsed/>
    <w:rsid w:val="002A16C3"/>
    <w:pPr>
      <w:spacing w:before="100" w:beforeAutospacing="1" w:after="100" w:afterAutospacing="1"/>
    </w:pPr>
    <w:rPr>
      <w:rFonts w:eastAsia="Times New Roman"/>
      <w:sz w:val="24"/>
      <w:szCs w:val="24"/>
    </w:rPr>
  </w:style>
  <w:style w:type="paragraph" w:styleId="BalloonText">
    <w:name w:val="Balloon Text"/>
    <w:basedOn w:val="Normal"/>
    <w:link w:val="BalloonTextChar"/>
    <w:uiPriority w:val="99"/>
    <w:semiHidden/>
    <w:unhideWhenUsed/>
    <w:rsid w:val="002A16C3"/>
    <w:rPr>
      <w:rFonts w:ascii="Tahoma" w:hAnsi="Tahoma" w:cs="Tahoma"/>
      <w:sz w:val="16"/>
      <w:szCs w:val="16"/>
    </w:rPr>
  </w:style>
  <w:style w:type="character" w:customStyle="1" w:styleId="BalloonTextChar">
    <w:name w:val="Balloon Text Char"/>
    <w:basedOn w:val="DefaultParagraphFont"/>
    <w:link w:val="BalloonText"/>
    <w:uiPriority w:val="99"/>
    <w:semiHidden/>
    <w:rsid w:val="002A16C3"/>
    <w:rPr>
      <w:rFonts w:ascii="Tahoma" w:hAnsi="Tahoma" w:cs="Tahoma"/>
      <w:sz w:val="16"/>
      <w:szCs w:val="16"/>
    </w:rPr>
  </w:style>
  <w:style w:type="character" w:styleId="FollowedHyperlink">
    <w:name w:val="FollowedHyperlink"/>
    <w:basedOn w:val="DefaultParagraphFont"/>
    <w:uiPriority w:val="99"/>
    <w:semiHidden/>
    <w:unhideWhenUsed/>
    <w:rsid w:val="007D00AE"/>
    <w:rPr>
      <w:color w:val="800080" w:themeColor="followedHyperlink"/>
      <w:u w:val="single"/>
    </w:rPr>
  </w:style>
  <w:style w:type="paragraph" w:styleId="Header">
    <w:name w:val="header"/>
    <w:basedOn w:val="Normal"/>
    <w:link w:val="HeaderChar"/>
    <w:uiPriority w:val="99"/>
    <w:unhideWhenUsed/>
    <w:rsid w:val="007D00AE"/>
    <w:pPr>
      <w:tabs>
        <w:tab w:val="center" w:pos="4680"/>
        <w:tab w:val="right" w:pos="9360"/>
      </w:tabs>
    </w:pPr>
  </w:style>
  <w:style w:type="character" w:customStyle="1" w:styleId="HeaderChar">
    <w:name w:val="Header Char"/>
    <w:basedOn w:val="DefaultParagraphFont"/>
    <w:link w:val="Header"/>
    <w:uiPriority w:val="99"/>
    <w:rsid w:val="007D00AE"/>
  </w:style>
  <w:style w:type="paragraph" w:styleId="Footer">
    <w:name w:val="footer"/>
    <w:basedOn w:val="Normal"/>
    <w:link w:val="FooterChar"/>
    <w:uiPriority w:val="99"/>
    <w:unhideWhenUsed/>
    <w:rsid w:val="007D00AE"/>
    <w:pPr>
      <w:tabs>
        <w:tab w:val="center" w:pos="4680"/>
        <w:tab w:val="right" w:pos="9360"/>
      </w:tabs>
    </w:pPr>
  </w:style>
  <w:style w:type="character" w:customStyle="1" w:styleId="FooterChar">
    <w:name w:val="Footer Char"/>
    <w:basedOn w:val="DefaultParagraphFont"/>
    <w:link w:val="Footer"/>
    <w:uiPriority w:val="99"/>
    <w:rsid w:val="007D00AE"/>
  </w:style>
  <w:style w:type="paragraph" w:styleId="Caption">
    <w:name w:val="caption"/>
    <w:basedOn w:val="Normal"/>
    <w:next w:val="Normal"/>
    <w:qFormat/>
    <w:rsid w:val="007D00AE"/>
    <w:pPr>
      <w:spacing w:line="423" w:lineRule="exact"/>
      <w:jc w:val="center"/>
    </w:pPr>
    <w:rPr>
      <w:rFonts w:eastAsia="Times New Roman"/>
      <w:b/>
      <w:bCs/>
      <w:sz w:val="24"/>
    </w:rPr>
  </w:style>
  <w:style w:type="paragraph" w:styleId="BodyTextIndent">
    <w:name w:val="Body Text Indent"/>
    <w:basedOn w:val="Normal"/>
    <w:link w:val="BodyTextIndentChar"/>
    <w:semiHidden/>
    <w:rsid w:val="007D00AE"/>
    <w:pPr>
      <w:spacing w:line="480" w:lineRule="auto"/>
      <w:ind w:firstLine="720"/>
    </w:pPr>
    <w:rPr>
      <w:rFonts w:eastAsia="Times New Roman" w:cs="Arial"/>
      <w:color w:val="000000"/>
      <w:sz w:val="24"/>
      <w:szCs w:val="24"/>
    </w:rPr>
  </w:style>
  <w:style w:type="character" w:customStyle="1" w:styleId="BodyTextIndentChar">
    <w:name w:val="Body Text Indent Char"/>
    <w:basedOn w:val="DefaultParagraphFont"/>
    <w:link w:val="BodyTextIndent"/>
    <w:semiHidden/>
    <w:rsid w:val="007D00AE"/>
    <w:rPr>
      <w:rFonts w:eastAsia="Times New Roman" w:cs="Arial"/>
      <w:color w:val="000000"/>
      <w:sz w:val="24"/>
      <w:szCs w:val="24"/>
    </w:rPr>
  </w:style>
  <w:style w:type="paragraph" w:styleId="ListParagraph">
    <w:name w:val="List Paragraph"/>
    <w:basedOn w:val="Normal"/>
    <w:uiPriority w:val="34"/>
    <w:qFormat/>
    <w:rsid w:val="007D00AE"/>
    <w:pPr>
      <w:ind w:left="720"/>
    </w:pPr>
    <w:rPr>
      <w:rFonts w:eastAsia="Times New Roman"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94998">
      <w:bodyDiv w:val="1"/>
      <w:marLeft w:val="0"/>
      <w:marRight w:val="0"/>
      <w:marTop w:val="0"/>
      <w:marBottom w:val="0"/>
      <w:divBdr>
        <w:top w:val="none" w:sz="0" w:space="0" w:color="auto"/>
        <w:left w:val="none" w:sz="0" w:space="0" w:color="auto"/>
        <w:bottom w:val="none" w:sz="0" w:space="0" w:color="auto"/>
        <w:right w:val="none" w:sz="0" w:space="0" w:color="auto"/>
      </w:divBdr>
      <w:divsChild>
        <w:div w:id="1107655793">
          <w:marLeft w:val="0"/>
          <w:marRight w:val="0"/>
          <w:marTop w:val="0"/>
          <w:marBottom w:val="0"/>
          <w:divBdr>
            <w:top w:val="none" w:sz="0" w:space="0" w:color="auto"/>
            <w:left w:val="none" w:sz="0" w:space="0" w:color="auto"/>
            <w:bottom w:val="none" w:sz="0" w:space="0" w:color="auto"/>
            <w:right w:val="none" w:sz="0" w:space="0" w:color="auto"/>
          </w:divBdr>
        </w:div>
        <w:div w:id="407072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Dallas County</Company>
  <LinksUpToDate>false</LinksUpToDate>
  <CharactersWithSpaces>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Dallas</dc:creator>
  <cp:lastModifiedBy>David August</cp:lastModifiedBy>
  <cp:revision>2</cp:revision>
  <cp:lastPrinted>2017-06-01T18:05:00Z</cp:lastPrinted>
  <dcterms:created xsi:type="dcterms:W3CDTF">2017-06-07T12:58:00Z</dcterms:created>
  <dcterms:modified xsi:type="dcterms:W3CDTF">2017-06-07T12:58:00Z</dcterms:modified>
</cp:coreProperties>
</file>